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CE4C" w14:textId="04C68673" w:rsidR="00885087" w:rsidRPr="00343CDA" w:rsidRDefault="00B82B70" w:rsidP="00163C4D">
      <w:pPr>
        <w:pStyle w:val="Heading1"/>
      </w:pPr>
      <w:r>
        <w:t>Appendix</w:t>
      </w:r>
      <w:r w:rsidR="003509F8">
        <w:t xml:space="preserve"> [insert letter]</w:t>
      </w:r>
      <w:r>
        <w:t xml:space="preserve">: </w:t>
      </w:r>
      <w:r w:rsidR="009A2C01">
        <w:t xml:space="preserve">Brief </w:t>
      </w:r>
      <w:r w:rsidR="00023976">
        <w:t>Summary of ATSDR’s Public Health Assessment (PHA) Process</w:t>
      </w:r>
    </w:p>
    <w:p w14:paraId="1D87BF99" w14:textId="74294EA3" w:rsidR="000F2FE8" w:rsidRPr="00343CDA" w:rsidRDefault="000F2FE8" w:rsidP="00343CDA">
      <w:pPr>
        <w:pStyle w:val="CM54"/>
        <w:spacing w:after="175"/>
        <w:rPr>
          <w:rFonts w:ascii="Arial" w:eastAsia="Times New Roman" w:hAnsi="Arial" w:cs="Arial"/>
          <w:color w:val="000000"/>
          <w:sz w:val="22"/>
          <w:szCs w:val="22"/>
        </w:rPr>
      </w:pPr>
      <w:r w:rsidRPr="00343CDA">
        <w:rPr>
          <w:rFonts w:ascii="Arial" w:eastAsia="Times New Roman" w:hAnsi="Arial" w:cs="Arial"/>
          <w:color w:val="000000"/>
          <w:sz w:val="22"/>
          <w:szCs w:val="22"/>
        </w:rPr>
        <w:t xml:space="preserve">ATSDR </w:t>
      </w:r>
      <w:r w:rsidR="00CA24AD">
        <w:rPr>
          <w:rFonts w:ascii="Arial" w:eastAsia="Times New Roman" w:hAnsi="Arial" w:cs="Arial"/>
          <w:color w:val="000000"/>
          <w:sz w:val="22"/>
          <w:szCs w:val="22"/>
        </w:rPr>
        <w:t>follow</w:t>
      </w:r>
      <w:r w:rsidR="00CC750B">
        <w:rPr>
          <w:rFonts w:ascii="Arial" w:eastAsia="Times New Roman" w:hAnsi="Arial" w:cs="Arial"/>
          <w:color w:val="000000"/>
          <w:sz w:val="22"/>
          <w:szCs w:val="22"/>
        </w:rPr>
        <w:t>s the PHA process</w:t>
      </w:r>
      <w:r w:rsidR="002855F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43CDA">
        <w:rPr>
          <w:rFonts w:ascii="Arial" w:eastAsia="Times New Roman" w:hAnsi="Arial" w:cs="Arial"/>
          <w:color w:val="000000"/>
          <w:sz w:val="22"/>
          <w:szCs w:val="22"/>
        </w:rPr>
        <w:t>to find out:</w:t>
      </w:r>
    </w:p>
    <w:p w14:paraId="7BCE0ED8" w14:textId="77777777" w:rsidR="000F2FE8" w:rsidRPr="00343CDA" w:rsidRDefault="000F2FE8" w:rsidP="00705231">
      <w:pPr>
        <w:pStyle w:val="Bullet1"/>
      </w:pPr>
      <w:r w:rsidRPr="00343CDA">
        <w:t>Whether people living near a hazardous waste site are being exposed to toxic substances.</w:t>
      </w:r>
    </w:p>
    <w:p w14:paraId="2B1C7280" w14:textId="77777777" w:rsidR="000F2FE8" w:rsidRPr="00343CDA" w:rsidRDefault="000F2FE8" w:rsidP="00705231">
      <w:pPr>
        <w:pStyle w:val="Bullet1"/>
      </w:pPr>
      <w:r w:rsidRPr="00343CDA">
        <w:t>Whether that exposure is harmful.</w:t>
      </w:r>
    </w:p>
    <w:p w14:paraId="7D61600E" w14:textId="77777777" w:rsidR="000F2FE8" w:rsidRPr="00343CDA" w:rsidRDefault="000F2FE8" w:rsidP="00705231">
      <w:pPr>
        <w:pStyle w:val="Bullet1"/>
      </w:pPr>
      <w:r w:rsidRPr="00343CDA">
        <w:t>What must be done to stop or reduce exposure.</w:t>
      </w:r>
    </w:p>
    <w:p w14:paraId="36BC0469" w14:textId="77777777" w:rsidR="000754C5" w:rsidRDefault="000754C5" w:rsidP="000754C5">
      <w:pPr>
        <w:spacing w:after="0"/>
      </w:pPr>
    </w:p>
    <w:p w14:paraId="646BF701" w14:textId="49C8C861" w:rsidR="00343CDA" w:rsidRPr="00343CDA" w:rsidRDefault="004B2AE4" w:rsidP="00163C4D">
      <w:r>
        <w:t>The PHA process is a step-</w:t>
      </w:r>
      <w:r w:rsidR="00AA3F4D">
        <w:t>by-step</w:t>
      </w:r>
      <w:r>
        <w:t xml:space="preserve"> </w:t>
      </w:r>
      <w:r w:rsidR="00AA3F4D">
        <w:t>consistent approach during which ATSDR:</w:t>
      </w:r>
    </w:p>
    <w:p w14:paraId="0781897D" w14:textId="5DAC84AD" w:rsidR="0040012E" w:rsidRPr="009C30BA" w:rsidRDefault="0040012E" w:rsidP="0040012E">
      <w:pPr>
        <w:pStyle w:val="Bullet1"/>
      </w:pPr>
      <w:r>
        <w:t xml:space="preserve">Establishes communication mechanisms, including </w:t>
      </w:r>
      <w:hyperlink r:id="rId8" w:history="1">
        <w:r w:rsidR="00AB5F02" w:rsidRPr="00AB5F02">
          <w:rPr>
            <w:rStyle w:val="Hyperlink"/>
          </w:rPr>
          <w:t>engaging communities</w:t>
        </w:r>
      </w:hyperlink>
      <w:r w:rsidRPr="009C30BA">
        <w:t> at the beginning of site activities and involves them throughout the process to respond to their health concerns.</w:t>
      </w:r>
    </w:p>
    <w:p w14:paraId="2FC9B488" w14:textId="2A6C8E8C" w:rsidR="0040012E" w:rsidRDefault="0040012E" w:rsidP="009C30BA">
      <w:pPr>
        <w:pStyle w:val="Bullet1"/>
      </w:pPr>
      <w:r>
        <w:t>Collects</w:t>
      </w:r>
      <w:r w:rsidR="00AB5F02">
        <w:t xml:space="preserve"> </w:t>
      </w:r>
      <w:proofErr w:type="gramStart"/>
      <w:r w:rsidR="009B545C">
        <w:t xml:space="preserve">many </w:t>
      </w:r>
      <w:r w:rsidR="00AB5F02">
        <w:t>different kinds of</w:t>
      </w:r>
      <w:proofErr w:type="gramEnd"/>
      <w:r>
        <w:t xml:space="preserve"> </w:t>
      </w:r>
      <w:hyperlink r:id="rId9" w:history="1">
        <w:r w:rsidRPr="00AB5F02">
          <w:rPr>
            <w:rStyle w:val="Hyperlink"/>
          </w:rPr>
          <w:t>site information</w:t>
        </w:r>
      </w:hyperlink>
      <w:r>
        <w:t>.</w:t>
      </w:r>
    </w:p>
    <w:p w14:paraId="24495E67" w14:textId="168A82D5" w:rsidR="0040012E" w:rsidRPr="0040012E" w:rsidRDefault="0040012E" w:rsidP="0040012E">
      <w:pPr>
        <w:pStyle w:val="Bullet1"/>
      </w:pPr>
      <w:r w:rsidRPr="0040012E">
        <w:t xml:space="preserve">Obtains, compiles, and </w:t>
      </w:r>
      <w:r w:rsidR="00984EB6">
        <w:t xml:space="preserve">evaluates the usability and quality of environmental and biological </w:t>
      </w:r>
      <w:hyperlink r:id="rId10" w:history="1">
        <w:r w:rsidR="00984EB6" w:rsidRPr="002337DA">
          <w:rPr>
            <w:rStyle w:val="Hyperlink"/>
          </w:rPr>
          <w:t>sampling data</w:t>
        </w:r>
      </w:hyperlink>
      <w:r w:rsidR="00984EB6">
        <w:t xml:space="preserve"> (and sometimes modeling data) to examine environmental contamination at a site.</w:t>
      </w:r>
    </w:p>
    <w:p w14:paraId="0DBA5916" w14:textId="44C9D000" w:rsidR="006227B1" w:rsidRDefault="0040012E" w:rsidP="009C30BA">
      <w:pPr>
        <w:pStyle w:val="Bullet1"/>
      </w:pPr>
      <w:r>
        <w:t xml:space="preserve">Conducts </w:t>
      </w:r>
      <w:r w:rsidR="00AA3F4D">
        <w:t>four main</w:t>
      </w:r>
      <w:r w:rsidR="00DB4D21">
        <w:t>, sequential</w:t>
      </w:r>
      <w:r w:rsidR="00AA3F4D">
        <w:t xml:space="preserve"> </w:t>
      </w:r>
      <w:r w:rsidR="006227B1">
        <w:t xml:space="preserve">scientific evaluations. </w:t>
      </w:r>
    </w:p>
    <w:p w14:paraId="286D36EB" w14:textId="0F9AFB04" w:rsidR="0072007A" w:rsidRDefault="00287C7F" w:rsidP="002B55A5">
      <w:pPr>
        <w:pStyle w:val="Bullet2"/>
      </w:pPr>
      <w:hyperlink r:id="rId11" w:history="1">
        <w:r w:rsidR="00984EB6">
          <w:rPr>
            <w:rStyle w:val="Hyperlink"/>
          </w:rPr>
          <w:t>E</w:t>
        </w:r>
        <w:r w:rsidR="006227B1" w:rsidRPr="000D2A7B">
          <w:rPr>
            <w:rStyle w:val="Hyperlink"/>
          </w:rPr>
          <w:t>xposure pathways evaluation</w:t>
        </w:r>
      </w:hyperlink>
      <w:r w:rsidR="00984EB6">
        <w:t xml:space="preserve"> to identify past, present, and future site-specific exposure situations</w:t>
      </w:r>
      <w:r w:rsidR="003E3F90">
        <w:t>, and categorize them as completed, potential, or eliminated.</w:t>
      </w:r>
    </w:p>
    <w:p w14:paraId="466F3F22" w14:textId="73E3BD6B" w:rsidR="0072007A" w:rsidRDefault="00287C7F" w:rsidP="002B55A5">
      <w:pPr>
        <w:pStyle w:val="Bullet2"/>
      </w:pPr>
      <w:hyperlink r:id="rId12" w:history="1">
        <w:r w:rsidR="00984EB6" w:rsidRPr="00984EB6">
          <w:rPr>
            <w:rStyle w:val="Hyperlink"/>
          </w:rPr>
          <w:t>S</w:t>
        </w:r>
        <w:r w:rsidR="006227B1" w:rsidRPr="00984EB6">
          <w:rPr>
            <w:rStyle w:val="Hyperlink"/>
          </w:rPr>
          <w:t xml:space="preserve">creening </w:t>
        </w:r>
        <w:r w:rsidR="00984EB6" w:rsidRPr="00984EB6">
          <w:rPr>
            <w:rStyle w:val="Hyperlink"/>
          </w:rPr>
          <w:t>analysis</w:t>
        </w:r>
      </w:hyperlink>
      <w:r w:rsidR="006227B1" w:rsidRPr="00343CDA">
        <w:t xml:space="preserve"> </w:t>
      </w:r>
      <w:r w:rsidR="006227B1">
        <w:t>to compare the</w:t>
      </w:r>
      <w:r w:rsidR="006227B1" w:rsidRPr="00343CDA">
        <w:t xml:space="preserve"> available sampling data</w:t>
      </w:r>
      <w:r w:rsidR="006227B1">
        <w:t xml:space="preserve"> to media-specific environmental screening levels</w:t>
      </w:r>
      <w:r w:rsidR="00984EB6" w:rsidRPr="00984EB6">
        <w:t xml:space="preserve"> (ATSDR comparison values [CVs] and non-ATSDR screening levels)</w:t>
      </w:r>
      <w:r w:rsidR="00A2431D">
        <w:t xml:space="preserve">. This </w:t>
      </w:r>
      <w:r w:rsidR="00984EB6" w:rsidRPr="00984EB6">
        <w:t>identif</w:t>
      </w:r>
      <w:r w:rsidR="00A2431D">
        <w:t>ies</w:t>
      </w:r>
      <w:r w:rsidR="00984EB6" w:rsidRPr="00984EB6">
        <w:t xml:space="preserve"> potential contaminants of concern that require further evaluation</w:t>
      </w:r>
      <w:r w:rsidR="003E3F90">
        <w:t xml:space="preserve"> for completed and potential exposure pathways</w:t>
      </w:r>
      <w:r w:rsidR="00984EB6" w:rsidRPr="00984EB6">
        <w:t>.</w:t>
      </w:r>
    </w:p>
    <w:p w14:paraId="0C65FEA9" w14:textId="13084C7C" w:rsidR="0072007A" w:rsidRDefault="00287C7F" w:rsidP="002B55A5">
      <w:pPr>
        <w:pStyle w:val="Bullet2"/>
      </w:pPr>
      <w:hyperlink r:id="rId13" w:history="1">
        <w:r w:rsidR="003E3F90" w:rsidRPr="003E3F90">
          <w:rPr>
            <w:rStyle w:val="Hyperlink"/>
          </w:rPr>
          <w:t>Exposure Point Concentrations (E</w:t>
        </w:r>
        <w:r w:rsidR="006227B1" w:rsidRPr="003E3F90">
          <w:rPr>
            <w:rStyle w:val="Hyperlink"/>
          </w:rPr>
          <w:t>PCs</w:t>
        </w:r>
        <w:r w:rsidR="003E3F90" w:rsidRPr="003E3F90">
          <w:rPr>
            <w:rStyle w:val="Hyperlink"/>
          </w:rPr>
          <w:t>)</w:t>
        </w:r>
        <w:r w:rsidR="006227B1" w:rsidRPr="003E3F90">
          <w:rPr>
            <w:rStyle w:val="Hyperlink"/>
          </w:rPr>
          <w:t xml:space="preserve"> and exposure calculations</w:t>
        </w:r>
      </w:hyperlink>
      <w:r w:rsidR="003E3F90" w:rsidRPr="003E3F90">
        <w:t xml:space="preserve"> for contaminants flagged as requiring further evaluation in completed and potential exposure pathways. It involves calculating EPCs</w:t>
      </w:r>
      <w:r w:rsidR="0073729E">
        <w:t>,</w:t>
      </w:r>
      <w:r w:rsidR="003E3F90" w:rsidRPr="003E3F90">
        <w:t xml:space="preserve"> using the estimated EPCs to perform exposure calculations</w:t>
      </w:r>
      <w:r w:rsidR="006812CD">
        <w:t>,</w:t>
      </w:r>
      <w:r w:rsidR="003E3F90">
        <w:t xml:space="preserve"> and determining which site-specific scenarios require</w:t>
      </w:r>
      <w:r w:rsidR="0060307B">
        <w:t>s</w:t>
      </w:r>
      <w:r w:rsidR="003E3F90">
        <w:t xml:space="preserve"> an in-depth toxicological effects analysis.</w:t>
      </w:r>
    </w:p>
    <w:p w14:paraId="3FA97899" w14:textId="718A0965" w:rsidR="006227B1" w:rsidRPr="00343CDA" w:rsidRDefault="00287C7F" w:rsidP="002B55A5">
      <w:pPr>
        <w:pStyle w:val="Bullet2"/>
      </w:pPr>
      <w:hyperlink r:id="rId14" w:history="1">
        <w:r w:rsidR="003E3F90" w:rsidRPr="00AC756C">
          <w:rPr>
            <w:rStyle w:val="Hyperlink"/>
          </w:rPr>
          <w:t>I</w:t>
        </w:r>
        <w:r w:rsidR="006227B1" w:rsidRPr="00AC756C">
          <w:rPr>
            <w:rStyle w:val="Hyperlink"/>
          </w:rPr>
          <w:t>n-depth toxicological effects evaluation</w:t>
        </w:r>
      </w:hyperlink>
      <w:r w:rsidR="00AC756C" w:rsidRPr="00AC756C">
        <w:rPr>
          <w:rStyle w:val="Hyperlink"/>
          <w:color w:val="auto"/>
          <w:u w:val="none"/>
        </w:rPr>
        <w:t>, if necessary</w:t>
      </w:r>
      <w:r w:rsidR="000754C5">
        <w:rPr>
          <w:rStyle w:val="Hyperlink"/>
          <w:color w:val="auto"/>
          <w:u w:val="none"/>
        </w:rPr>
        <w:t>,</w:t>
      </w:r>
      <w:r w:rsidR="00AC756C" w:rsidRPr="00AC756C">
        <w:rPr>
          <w:rStyle w:val="Hyperlink"/>
          <w:color w:val="auto"/>
          <w:u w:val="none"/>
        </w:rPr>
        <w:t xml:space="preserve"> based on the three previous scientific evaluations</w:t>
      </w:r>
      <w:r w:rsidR="00A450F1">
        <w:rPr>
          <w:rStyle w:val="Hyperlink"/>
          <w:color w:val="auto"/>
          <w:u w:val="none"/>
        </w:rPr>
        <w:t>.</w:t>
      </w:r>
      <w:r w:rsidR="006227B1">
        <w:t xml:space="preserve"> </w:t>
      </w:r>
      <w:r w:rsidR="00A450F1">
        <w:t>This st</w:t>
      </w:r>
      <w:r w:rsidR="008F7A1F">
        <w:t>ep</w:t>
      </w:r>
      <w:r w:rsidR="00A450F1">
        <w:t xml:space="preserve"> </w:t>
      </w:r>
      <w:r w:rsidR="006227B1">
        <w:t>look</w:t>
      </w:r>
      <w:r w:rsidR="008F7A1F">
        <w:t>s</w:t>
      </w:r>
      <w:r w:rsidR="006227B1">
        <w:t xml:space="preserve"> more closely at contaminant-specific information in the context of site exposures</w:t>
      </w:r>
      <w:r w:rsidR="000754C5">
        <w:t xml:space="preserve">. This evaluation can also help determine </w:t>
      </w:r>
      <w:r w:rsidR="006227B1">
        <w:t xml:space="preserve">if there </w:t>
      </w:r>
      <w:r w:rsidR="000754C5">
        <w:t xml:space="preserve">is </w:t>
      </w:r>
      <w:r w:rsidR="006227B1">
        <w:t>a potential for non-cancer or cancer health effects.</w:t>
      </w:r>
      <w:r w:rsidR="006227B1" w:rsidRPr="00343CDA">
        <w:t xml:space="preserve"> </w:t>
      </w:r>
    </w:p>
    <w:p w14:paraId="20C6A1CC" w14:textId="5124DA25" w:rsidR="009C30BA" w:rsidRPr="009C30BA" w:rsidRDefault="0040012E" w:rsidP="009C30BA">
      <w:pPr>
        <w:pStyle w:val="Bullet1"/>
      </w:pPr>
      <w:r>
        <w:t>Summarizes findings and next steps</w:t>
      </w:r>
      <w:r w:rsidR="00074D0D">
        <w:t>,</w:t>
      </w:r>
      <w:r w:rsidR="009C30BA" w:rsidRPr="009C30BA">
        <w:t xml:space="preserve"> while acknowledging uncertainties and limitations.</w:t>
      </w:r>
    </w:p>
    <w:p w14:paraId="7F39CF52" w14:textId="44017025" w:rsidR="009C30BA" w:rsidRDefault="009C30BA" w:rsidP="009C30BA">
      <w:pPr>
        <w:pStyle w:val="Bullet1"/>
      </w:pPr>
      <w:r w:rsidRPr="009C30BA">
        <w:t>Provides recommendations to site-related entities, partner agencies, and communities to prevent and minimize harmful exposures.</w:t>
      </w:r>
    </w:p>
    <w:p w14:paraId="7518334E" w14:textId="77777777" w:rsidR="000754C5" w:rsidRDefault="000754C5" w:rsidP="000754C5">
      <w:pPr>
        <w:pStyle w:val="Bullet1"/>
        <w:numPr>
          <w:ilvl w:val="0"/>
          <w:numId w:val="0"/>
        </w:numPr>
        <w:spacing w:after="0"/>
      </w:pPr>
    </w:p>
    <w:p w14:paraId="09F1C65D" w14:textId="6601FB72" w:rsidR="00FA02BC" w:rsidRDefault="0072007A" w:rsidP="0072007A">
      <w:pPr>
        <w:pStyle w:val="Bullet1"/>
        <w:numPr>
          <w:ilvl w:val="0"/>
          <w:numId w:val="0"/>
        </w:numPr>
      </w:pPr>
      <w:r w:rsidRPr="00343CDA">
        <w:t xml:space="preserve">The sequence of steps can differ based on site-specific factors. For instance, health assessors might define an exposure unit before or after the screening analysis. </w:t>
      </w:r>
    </w:p>
    <w:p w14:paraId="063811FD" w14:textId="4E679774" w:rsidR="0072007A" w:rsidRPr="009C30BA" w:rsidRDefault="000906E0" w:rsidP="0072007A">
      <w:pPr>
        <w:pStyle w:val="Bullet1"/>
        <w:numPr>
          <w:ilvl w:val="0"/>
          <w:numId w:val="0"/>
        </w:numPr>
      </w:pPr>
      <w:r>
        <w:t xml:space="preserve">For more detail on the PHA process, please </w:t>
      </w:r>
      <w:r w:rsidR="0089363F">
        <w:t>visit</w:t>
      </w:r>
      <w:r>
        <w:t xml:space="preserve"> </w:t>
      </w:r>
      <w:hyperlink r:id="rId15" w:history="1">
        <w:r w:rsidR="0072007A" w:rsidRPr="00F51BA9">
          <w:rPr>
            <w:rStyle w:val="Hyperlink"/>
          </w:rPr>
          <w:t>Explanation of ATSDR’s PHA Process Evaluation</w:t>
        </w:r>
      </w:hyperlink>
      <w:r w:rsidR="0072007A" w:rsidRPr="00343CDA">
        <w:t>.</w:t>
      </w:r>
      <w:r w:rsidR="00FA02BC">
        <w:t xml:space="preserve"> Readers can also refer to </w:t>
      </w:r>
      <w:hyperlink r:id="rId16" w:history="1">
        <w:r w:rsidR="00FA02BC" w:rsidRPr="00FA02BC">
          <w:rPr>
            <w:rStyle w:val="Hyperlink"/>
          </w:rPr>
          <w:t>ATSDR’s Public Health Assessment Guidance Manual</w:t>
        </w:r>
      </w:hyperlink>
      <w:r w:rsidR="00FA02BC">
        <w:t xml:space="preserve"> for </w:t>
      </w:r>
      <w:r w:rsidR="001256A9">
        <w:t xml:space="preserve">all information related to the </w:t>
      </w:r>
      <w:proofErr w:type="gramStart"/>
      <w:r w:rsidR="001256A9">
        <w:t>step-wise</w:t>
      </w:r>
      <w:proofErr w:type="gramEnd"/>
      <w:r w:rsidR="001256A9">
        <w:t xml:space="preserve"> PHA process.</w:t>
      </w:r>
    </w:p>
    <w:sectPr w:rsidR="0072007A" w:rsidRPr="009C30BA" w:rsidSect="008A2C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7C26" w14:textId="77777777" w:rsidR="00287C7F" w:rsidRDefault="00287C7F" w:rsidP="00D20B00">
      <w:pPr>
        <w:spacing w:after="0" w:line="240" w:lineRule="auto"/>
      </w:pPr>
      <w:r>
        <w:separator/>
      </w:r>
    </w:p>
  </w:endnote>
  <w:endnote w:type="continuationSeparator" w:id="0">
    <w:p w14:paraId="5B5688C1" w14:textId="77777777" w:rsidR="00287C7F" w:rsidRDefault="00287C7F" w:rsidP="00D2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12FB" w14:textId="77777777" w:rsidR="00287C7F" w:rsidRDefault="00287C7F" w:rsidP="00D20B00">
      <w:pPr>
        <w:spacing w:after="0" w:line="240" w:lineRule="auto"/>
      </w:pPr>
      <w:r>
        <w:separator/>
      </w:r>
    </w:p>
  </w:footnote>
  <w:footnote w:type="continuationSeparator" w:id="0">
    <w:p w14:paraId="162D64BF" w14:textId="77777777" w:rsidR="00287C7F" w:rsidRDefault="00287C7F" w:rsidP="00D2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A28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93BAA"/>
    <w:multiLevelType w:val="hybridMultilevel"/>
    <w:tmpl w:val="4308D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268B6"/>
    <w:multiLevelType w:val="hybridMultilevel"/>
    <w:tmpl w:val="1D62B464"/>
    <w:lvl w:ilvl="0" w:tplc="A366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A4CD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565C"/>
    <w:multiLevelType w:val="hybridMultilevel"/>
    <w:tmpl w:val="8AEC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A2653E"/>
    <w:multiLevelType w:val="hybridMultilevel"/>
    <w:tmpl w:val="1186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A024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215C5"/>
    <w:multiLevelType w:val="hybridMultilevel"/>
    <w:tmpl w:val="4F42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760253"/>
    <w:multiLevelType w:val="hybridMultilevel"/>
    <w:tmpl w:val="335CC3B0"/>
    <w:lvl w:ilvl="0" w:tplc="BF98BB7C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7" w15:restartNumberingAfterBreak="0">
    <w:nsid w:val="3FDB668E"/>
    <w:multiLevelType w:val="hybridMultilevel"/>
    <w:tmpl w:val="4D62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A000F"/>
    <w:multiLevelType w:val="hybridMultilevel"/>
    <w:tmpl w:val="B9B4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D0407"/>
    <w:multiLevelType w:val="hybridMultilevel"/>
    <w:tmpl w:val="3B0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2A663C"/>
    <w:multiLevelType w:val="hybridMultilevel"/>
    <w:tmpl w:val="8692ED96"/>
    <w:lvl w:ilvl="0" w:tplc="12E2B9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F73339"/>
    <w:multiLevelType w:val="hybridMultilevel"/>
    <w:tmpl w:val="5BA4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7515D9"/>
    <w:multiLevelType w:val="hybridMultilevel"/>
    <w:tmpl w:val="9538F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AA66D6"/>
    <w:multiLevelType w:val="hybridMultilevel"/>
    <w:tmpl w:val="084234AE"/>
    <w:lvl w:ilvl="0" w:tplc="8364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80BF3"/>
    <w:multiLevelType w:val="hybridMultilevel"/>
    <w:tmpl w:val="31329EFA"/>
    <w:lvl w:ilvl="0" w:tplc="C1045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575F92"/>
    <w:multiLevelType w:val="multilevel"/>
    <w:tmpl w:val="7458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FC53BA"/>
    <w:multiLevelType w:val="hybridMultilevel"/>
    <w:tmpl w:val="DA42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967DB"/>
    <w:multiLevelType w:val="hybridMultilevel"/>
    <w:tmpl w:val="9648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E30866"/>
    <w:multiLevelType w:val="multilevel"/>
    <w:tmpl w:val="B52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0119B0"/>
    <w:multiLevelType w:val="hybridMultilevel"/>
    <w:tmpl w:val="66C8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06D6"/>
    <w:multiLevelType w:val="hybridMultilevel"/>
    <w:tmpl w:val="563A486C"/>
    <w:lvl w:ilvl="0" w:tplc="4E4C214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0969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99035">
    <w:abstractNumId w:val="4"/>
  </w:num>
  <w:num w:numId="2" w16cid:durableId="219750245">
    <w:abstractNumId w:val="8"/>
  </w:num>
  <w:num w:numId="3" w16cid:durableId="1413043753">
    <w:abstractNumId w:val="7"/>
  </w:num>
  <w:num w:numId="4" w16cid:durableId="1060515603">
    <w:abstractNumId w:val="1"/>
  </w:num>
  <w:num w:numId="5" w16cid:durableId="1647196683">
    <w:abstractNumId w:val="20"/>
  </w:num>
  <w:num w:numId="6" w16cid:durableId="776556838">
    <w:abstractNumId w:val="12"/>
  </w:num>
  <w:num w:numId="7" w16cid:durableId="1302226871">
    <w:abstractNumId w:val="0"/>
  </w:num>
  <w:num w:numId="8" w16cid:durableId="312102314">
    <w:abstractNumId w:val="2"/>
  </w:num>
  <w:num w:numId="9" w16cid:durableId="1775712715">
    <w:abstractNumId w:val="19"/>
  </w:num>
  <w:num w:numId="10" w16cid:durableId="2130396653">
    <w:abstractNumId w:val="6"/>
  </w:num>
  <w:num w:numId="11" w16cid:durableId="2080666098">
    <w:abstractNumId w:val="5"/>
  </w:num>
  <w:num w:numId="12" w16cid:durableId="1181044314">
    <w:abstractNumId w:val="3"/>
  </w:num>
  <w:num w:numId="13" w16cid:durableId="1648121472">
    <w:abstractNumId w:val="17"/>
  </w:num>
  <w:num w:numId="14" w16cid:durableId="1488863051">
    <w:abstractNumId w:val="11"/>
  </w:num>
  <w:num w:numId="15" w16cid:durableId="57558962">
    <w:abstractNumId w:val="9"/>
  </w:num>
  <w:num w:numId="16" w16cid:durableId="1207335116">
    <w:abstractNumId w:val="10"/>
  </w:num>
  <w:num w:numId="17" w16cid:durableId="581647244">
    <w:abstractNumId w:val="13"/>
  </w:num>
  <w:num w:numId="18" w16cid:durableId="1108887338">
    <w:abstractNumId w:val="14"/>
  </w:num>
  <w:num w:numId="19" w16cid:durableId="581991346">
    <w:abstractNumId w:val="16"/>
  </w:num>
  <w:num w:numId="20" w16cid:durableId="574828100">
    <w:abstractNumId w:val="18"/>
  </w:num>
  <w:num w:numId="21" w16cid:durableId="7840355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87"/>
    <w:rsid w:val="000030F0"/>
    <w:rsid w:val="00023976"/>
    <w:rsid w:val="00027467"/>
    <w:rsid w:val="00032BAE"/>
    <w:rsid w:val="000364CE"/>
    <w:rsid w:val="00036DAC"/>
    <w:rsid w:val="000406FD"/>
    <w:rsid w:val="00063A01"/>
    <w:rsid w:val="00071160"/>
    <w:rsid w:val="00074D0D"/>
    <w:rsid w:val="000754C5"/>
    <w:rsid w:val="00084504"/>
    <w:rsid w:val="000906E0"/>
    <w:rsid w:val="000A1A68"/>
    <w:rsid w:val="000A727C"/>
    <w:rsid w:val="000B6115"/>
    <w:rsid w:val="000C4671"/>
    <w:rsid w:val="000D057D"/>
    <w:rsid w:val="000D2A7B"/>
    <w:rsid w:val="000E043C"/>
    <w:rsid w:val="000E1B38"/>
    <w:rsid w:val="000E69D6"/>
    <w:rsid w:val="000F2FE8"/>
    <w:rsid w:val="001002AE"/>
    <w:rsid w:val="00100AB7"/>
    <w:rsid w:val="00102443"/>
    <w:rsid w:val="00122D23"/>
    <w:rsid w:val="001256A9"/>
    <w:rsid w:val="0013070D"/>
    <w:rsid w:val="00133938"/>
    <w:rsid w:val="00133A9E"/>
    <w:rsid w:val="00146A36"/>
    <w:rsid w:val="0014751E"/>
    <w:rsid w:val="00151A1E"/>
    <w:rsid w:val="00152227"/>
    <w:rsid w:val="00155EF0"/>
    <w:rsid w:val="0015774B"/>
    <w:rsid w:val="001630E0"/>
    <w:rsid w:val="00163C4D"/>
    <w:rsid w:val="00170C64"/>
    <w:rsid w:val="00171FBD"/>
    <w:rsid w:val="00185CF3"/>
    <w:rsid w:val="001A260D"/>
    <w:rsid w:val="001A39C1"/>
    <w:rsid w:val="001A76D9"/>
    <w:rsid w:val="001C0576"/>
    <w:rsid w:val="001C09DB"/>
    <w:rsid w:val="001D52E7"/>
    <w:rsid w:val="001E11D8"/>
    <w:rsid w:val="001E747F"/>
    <w:rsid w:val="001F6444"/>
    <w:rsid w:val="00207B54"/>
    <w:rsid w:val="00221756"/>
    <w:rsid w:val="002239F9"/>
    <w:rsid w:val="00226581"/>
    <w:rsid w:val="0023348F"/>
    <w:rsid w:val="002337DA"/>
    <w:rsid w:val="00252C32"/>
    <w:rsid w:val="00253545"/>
    <w:rsid w:val="00254518"/>
    <w:rsid w:val="00263E0D"/>
    <w:rsid w:val="00274DE6"/>
    <w:rsid w:val="00276C8F"/>
    <w:rsid w:val="002854A4"/>
    <w:rsid w:val="002855FE"/>
    <w:rsid w:val="00287C7F"/>
    <w:rsid w:val="00294988"/>
    <w:rsid w:val="002A3321"/>
    <w:rsid w:val="002B1A36"/>
    <w:rsid w:val="002B4F1E"/>
    <w:rsid w:val="002B55A5"/>
    <w:rsid w:val="002C0748"/>
    <w:rsid w:val="002C6D56"/>
    <w:rsid w:val="002E7B7F"/>
    <w:rsid w:val="002E7D7C"/>
    <w:rsid w:val="002F680A"/>
    <w:rsid w:val="002F7D71"/>
    <w:rsid w:val="00300139"/>
    <w:rsid w:val="003016CF"/>
    <w:rsid w:val="003303E3"/>
    <w:rsid w:val="003377A7"/>
    <w:rsid w:val="00337EAE"/>
    <w:rsid w:val="00343CDA"/>
    <w:rsid w:val="003477FC"/>
    <w:rsid w:val="0035049F"/>
    <w:rsid w:val="00350564"/>
    <w:rsid w:val="003509F8"/>
    <w:rsid w:val="003560D6"/>
    <w:rsid w:val="00366951"/>
    <w:rsid w:val="00377A08"/>
    <w:rsid w:val="0038667A"/>
    <w:rsid w:val="00387A28"/>
    <w:rsid w:val="00387E4E"/>
    <w:rsid w:val="00394C4C"/>
    <w:rsid w:val="003A1347"/>
    <w:rsid w:val="003A3316"/>
    <w:rsid w:val="003A6A6A"/>
    <w:rsid w:val="003C2013"/>
    <w:rsid w:val="003C6C43"/>
    <w:rsid w:val="003D6117"/>
    <w:rsid w:val="003D6647"/>
    <w:rsid w:val="003E3F90"/>
    <w:rsid w:val="003F65E0"/>
    <w:rsid w:val="0040012E"/>
    <w:rsid w:val="00403348"/>
    <w:rsid w:val="00407BF3"/>
    <w:rsid w:val="00421799"/>
    <w:rsid w:val="0042682C"/>
    <w:rsid w:val="00430A7F"/>
    <w:rsid w:val="00436499"/>
    <w:rsid w:val="00441A58"/>
    <w:rsid w:val="00444176"/>
    <w:rsid w:val="00446B80"/>
    <w:rsid w:val="00461531"/>
    <w:rsid w:val="00462C91"/>
    <w:rsid w:val="00464326"/>
    <w:rsid w:val="00472681"/>
    <w:rsid w:val="00474F8D"/>
    <w:rsid w:val="00482ED0"/>
    <w:rsid w:val="00485392"/>
    <w:rsid w:val="00485B3F"/>
    <w:rsid w:val="00486767"/>
    <w:rsid w:val="0048734A"/>
    <w:rsid w:val="00490AF6"/>
    <w:rsid w:val="00492947"/>
    <w:rsid w:val="004A2157"/>
    <w:rsid w:val="004A2D0D"/>
    <w:rsid w:val="004A4E73"/>
    <w:rsid w:val="004B18ED"/>
    <w:rsid w:val="004B2AE4"/>
    <w:rsid w:val="004B33D6"/>
    <w:rsid w:val="004B380D"/>
    <w:rsid w:val="004C2A13"/>
    <w:rsid w:val="004C6A92"/>
    <w:rsid w:val="004D2527"/>
    <w:rsid w:val="004D2B33"/>
    <w:rsid w:val="004E5C39"/>
    <w:rsid w:val="004F00DF"/>
    <w:rsid w:val="004F59A7"/>
    <w:rsid w:val="004F714C"/>
    <w:rsid w:val="00507CE2"/>
    <w:rsid w:val="0051609F"/>
    <w:rsid w:val="0054039F"/>
    <w:rsid w:val="00540BC8"/>
    <w:rsid w:val="00543BE4"/>
    <w:rsid w:val="005630EC"/>
    <w:rsid w:val="0056509C"/>
    <w:rsid w:val="0056723F"/>
    <w:rsid w:val="00571B2C"/>
    <w:rsid w:val="00585ECA"/>
    <w:rsid w:val="00586DE0"/>
    <w:rsid w:val="0059726F"/>
    <w:rsid w:val="005A3AAB"/>
    <w:rsid w:val="005B5977"/>
    <w:rsid w:val="005B7C6E"/>
    <w:rsid w:val="005C2957"/>
    <w:rsid w:val="005C3F4F"/>
    <w:rsid w:val="005E0A94"/>
    <w:rsid w:val="005E1332"/>
    <w:rsid w:val="0060307B"/>
    <w:rsid w:val="006046B4"/>
    <w:rsid w:val="00607EEB"/>
    <w:rsid w:val="00613979"/>
    <w:rsid w:val="0061445C"/>
    <w:rsid w:val="006227B1"/>
    <w:rsid w:val="00627E24"/>
    <w:rsid w:val="0063013B"/>
    <w:rsid w:val="00657855"/>
    <w:rsid w:val="006812CD"/>
    <w:rsid w:val="00682F3F"/>
    <w:rsid w:val="0069434F"/>
    <w:rsid w:val="00697C0C"/>
    <w:rsid w:val="006A7794"/>
    <w:rsid w:val="006C0C8F"/>
    <w:rsid w:val="006C2C9F"/>
    <w:rsid w:val="006C7F25"/>
    <w:rsid w:val="006F50E4"/>
    <w:rsid w:val="006F7AFC"/>
    <w:rsid w:val="00705231"/>
    <w:rsid w:val="0071181B"/>
    <w:rsid w:val="0072007A"/>
    <w:rsid w:val="00721AF2"/>
    <w:rsid w:val="00721C11"/>
    <w:rsid w:val="00731CDD"/>
    <w:rsid w:val="0073729E"/>
    <w:rsid w:val="007578F7"/>
    <w:rsid w:val="00761B3A"/>
    <w:rsid w:val="007636CF"/>
    <w:rsid w:val="00765F72"/>
    <w:rsid w:val="007853F9"/>
    <w:rsid w:val="0079373F"/>
    <w:rsid w:val="007958C1"/>
    <w:rsid w:val="0079774B"/>
    <w:rsid w:val="007B593E"/>
    <w:rsid w:val="007B711B"/>
    <w:rsid w:val="007C02ED"/>
    <w:rsid w:val="007E5B3C"/>
    <w:rsid w:val="007E6DA4"/>
    <w:rsid w:val="007F71F5"/>
    <w:rsid w:val="00815CD4"/>
    <w:rsid w:val="00820B72"/>
    <w:rsid w:val="008406BC"/>
    <w:rsid w:val="0086236F"/>
    <w:rsid w:val="00875946"/>
    <w:rsid w:val="008806FA"/>
    <w:rsid w:val="00882357"/>
    <w:rsid w:val="00885087"/>
    <w:rsid w:val="0088793F"/>
    <w:rsid w:val="0089312F"/>
    <w:rsid w:val="0089363F"/>
    <w:rsid w:val="008A2CD4"/>
    <w:rsid w:val="008A39D6"/>
    <w:rsid w:val="008A6A30"/>
    <w:rsid w:val="008C15A0"/>
    <w:rsid w:val="008C79D0"/>
    <w:rsid w:val="008F531D"/>
    <w:rsid w:val="008F536E"/>
    <w:rsid w:val="008F66A2"/>
    <w:rsid w:val="008F7192"/>
    <w:rsid w:val="008F7A1F"/>
    <w:rsid w:val="00915EAF"/>
    <w:rsid w:val="00921B12"/>
    <w:rsid w:val="00922307"/>
    <w:rsid w:val="009260AB"/>
    <w:rsid w:val="009335D8"/>
    <w:rsid w:val="0093425F"/>
    <w:rsid w:val="0093551A"/>
    <w:rsid w:val="009467BE"/>
    <w:rsid w:val="00953F09"/>
    <w:rsid w:val="0096016D"/>
    <w:rsid w:val="00967797"/>
    <w:rsid w:val="00977E4A"/>
    <w:rsid w:val="00984EB6"/>
    <w:rsid w:val="00991A69"/>
    <w:rsid w:val="00993287"/>
    <w:rsid w:val="00993FA7"/>
    <w:rsid w:val="009A2C01"/>
    <w:rsid w:val="009B36E5"/>
    <w:rsid w:val="009B43C3"/>
    <w:rsid w:val="009B545C"/>
    <w:rsid w:val="009C30BA"/>
    <w:rsid w:val="009D793F"/>
    <w:rsid w:val="009E172A"/>
    <w:rsid w:val="009E40D6"/>
    <w:rsid w:val="009F7FBC"/>
    <w:rsid w:val="00A066E4"/>
    <w:rsid w:val="00A12267"/>
    <w:rsid w:val="00A1698E"/>
    <w:rsid w:val="00A16C57"/>
    <w:rsid w:val="00A2431D"/>
    <w:rsid w:val="00A263BA"/>
    <w:rsid w:val="00A26464"/>
    <w:rsid w:val="00A34BD8"/>
    <w:rsid w:val="00A36AEA"/>
    <w:rsid w:val="00A44782"/>
    <w:rsid w:val="00A450F1"/>
    <w:rsid w:val="00A53962"/>
    <w:rsid w:val="00A5639D"/>
    <w:rsid w:val="00A57D0B"/>
    <w:rsid w:val="00A8125D"/>
    <w:rsid w:val="00A97E74"/>
    <w:rsid w:val="00AA315B"/>
    <w:rsid w:val="00AA3F4D"/>
    <w:rsid w:val="00AA42FD"/>
    <w:rsid w:val="00AB054D"/>
    <w:rsid w:val="00AB3E81"/>
    <w:rsid w:val="00AB4895"/>
    <w:rsid w:val="00AB5F02"/>
    <w:rsid w:val="00AC11E1"/>
    <w:rsid w:val="00AC45A7"/>
    <w:rsid w:val="00AC756C"/>
    <w:rsid w:val="00AD70BC"/>
    <w:rsid w:val="00AE5DEE"/>
    <w:rsid w:val="00AE6E4D"/>
    <w:rsid w:val="00AF624D"/>
    <w:rsid w:val="00AF71AE"/>
    <w:rsid w:val="00B04540"/>
    <w:rsid w:val="00B14D44"/>
    <w:rsid w:val="00B1727D"/>
    <w:rsid w:val="00B2761E"/>
    <w:rsid w:val="00B27B38"/>
    <w:rsid w:val="00B5563A"/>
    <w:rsid w:val="00B6711E"/>
    <w:rsid w:val="00B76D4D"/>
    <w:rsid w:val="00B77AD2"/>
    <w:rsid w:val="00B82B70"/>
    <w:rsid w:val="00B87836"/>
    <w:rsid w:val="00B95AA3"/>
    <w:rsid w:val="00BA7B33"/>
    <w:rsid w:val="00BB427E"/>
    <w:rsid w:val="00BC0448"/>
    <w:rsid w:val="00BC56CA"/>
    <w:rsid w:val="00BC5A0D"/>
    <w:rsid w:val="00BC7F2F"/>
    <w:rsid w:val="00BD00BD"/>
    <w:rsid w:val="00BD2A15"/>
    <w:rsid w:val="00BE064E"/>
    <w:rsid w:val="00BE10A8"/>
    <w:rsid w:val="00BE17F0"/>
    <w:rsid w:val="00BE7F68"/>
    <w:rsid w:val="00BF5922"/>
    <w:rsid w:val="00C1367C"/>
    <w:rsid w:val="00C205AE"/>
    <w:rsid w:val="00C2106D"/>
    <w:rsid w:val="00C27FBE"/>
    <w:rsid w:val="00C34D86"/>
    <w:rsid w:val="00C35E9B"/>
    <w:rsid w:val="00C47BD6"/>
    <w:rsid w:val="00C70CB3"/>
    <w:rsid w:val="00C756D5"/>
    <w:rsid w:val="00C7701E"/>
    <w:rsid w:val="00C81ED3"/>
    <w:rsid w:val="00C83461"/>
    <w:rsid w:val="00C8501E"/>
    <w:rsid w:val="00C90B46"/>
    <w:rsid w:val="00C91655"/>
    <w:rsid w:val="00C91D84"/>
    <w:rsid w:val="00C96C6A"/>
    <w:rsid w:val="00CA24AD"/>
    <w:rsid w:val="00CA70D2"/>
    <w:rsid w:val="00CC245F"/>
    <w:rsid w:val="00CC750B"/>
    <w:rsid w:val="00CD04D8"/>
    <w:rsid w:val="00CE09FF"/>
    <w:rsid w:val="00CF25D4"/>
    <w:rsid w:val="00CF3F82"/>
    <w:rsid w:val="00D12D1B"/>
    <w:rsid w:val="00D14147"/>
    <w:rsid w:val="00D20B00"/>
    <w:rsid w:val="00D2189C"/>
    <w:rsid w:val="00D26692"/>
    <w:rsid w:val="00D3079D"/>
    <w:rsid w:val="00D47014"/>
    <w:rsid w:val="00D51689"/>
    <w:rsid w:val="00D53C10"/>
    <w:rsid w:val="00D607DB"/>
    <w:rsid w:val="00D63B08"/>
    <w:rsid w:val="00D72FED"/>
    <w:rsid w:val="00D768CC"/>
    <w:rsid w:val="00D84B03"/>
    <w:rsid w:val="00D92FF7"/>
    <w:rsid w:val="00D974C4"/>
    <w:rsid w:val="00DA5A22"/>
    <w:rsid w:val="00DB4D21"/>
    <w:rsid w:val="00DC56D5"/>
    <w:rsid w:val="00DC65A5"/>
    <w:rsid w:val="00DD00DE"/>
    <w:rsid w:val="00DD398F"/>
    <w:rsid w:val="00DD727E"/>
    <w:rsid w:val="00DE2E0B"/>
    <w:rsid w:val="00DE4A2E"/>
    <w:rsid w:val="00DE5D69"/>
    <w:rsid w:val="00DF4515"/>
    <w:rsid w:val="00DF7E13"/>
    <w:rsid w:val="00E03D94"/>
    <w:rsid w:val="00E0446A"/>
    <w:rsid w:val="00E109A5"/>
    <w:rsid w:val="00E51500"/>
    <w:rsid w:val="00E5290D"/>
    <w:rsid w:val="00E60C03"/>
    <w:rsid w:val="00E64F82"/>
    <w:rsid w:val="00E65559"/>
    <w:rsid w:val="00E67909"/>
    <w:rsid w:val="00E7295E"/>
    <w:rsid w:val="00E73275"/>
    <w:rsid w:val="00E8124D"/>
    <w:rsid w:val="00E81254"/>
    <w:rsid w:val="00E83F83"/>
    <w:rsid w:val="00E864E7"/>
    <w:rsid w:val="00E91895"/>
    <w:rsid w:val="00E92921"/>
    <w:rsid w:val="00E948A1"/>
    <w:rsid w:val="00EA4E0F"/>
    <w:rsid w:val="00EB0457"/>
    <w:rsid w:val="00EB3FE5"/>
    <w:rsid w:val="00EB7B82"/>
    <w:rsid w:val="00ED490F"/>
    <w:rsid w:val="00EE56C2"/>
    <w:rsid w:val="00EF3BAF"/>
    <w:rsid w:val="00F0722E"/>
    <w:rsid w:val="00F12177"/>
    <w:rsid w:val="00F13967"/>
    <w:rsid w:val="00F25F48"/>
    <w:rsid w:val="00F26A77"/>
    <w:rsid w:val="00F27142"/>
    <w:rsid w:val="00F34B9B"/>
    <w:rsid w:val="00F44FD7"/>
    <w:rsid w:val="00F51BA9"/>
    <w:rsid w:val="00F53E93"/>
    <w:rsid w:val="00F63782"/>
    <w:rsid w:val="00F67DA9"/>
    <w:rsid w:val="00F84FB2"/>
    <w:rsid w:val="00F863E1"/>
    <w:rsid w:val="00F90162"/>
    <w:rsid w:val="00F916C5"/>
    <w:rsid w:val="00FA00AB"/>
    <w:rsid w:val="00FA02BC"/>
    <w:rsid w:val="00FA0944"/>
    <w:rsid w:val="00FB03E6"/>
    <w:rsid w:val="00FB149E"/>
    <w:rsid w:val="00FD332B"/>
    <w:rsid w:val="00FD47AC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39802"/>
  <w15:chartTrackingRefBased/>
  <w15:docId w15:val="{2770DECA-315F-43C1-989B-DEA95EBB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4D"/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16D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16D"/>
    <w:pPr>
      <w:keepNext/>
      <w:keepLines/>
      <w:spacing w:before="40" w:after="120"/>
      <w:outlineLvl w:val="1"/>
    </w:pPr>
    <w:rPr>
      <w:rFonts w:asciiTheme="minorHAnsi" w:eastAsiaTheme="majorEastAsia" w:hAnsiTheme="min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16D"/>
    <w:pPr>
      <w:keepNext/>
      <w:keepLines/>
      <w:spacing w:before="40" w:after="120" w:line="240" w:lineRule="auto"/>
      <w:outlineLvl w:val="2"/>
    </w:pPr>
    <w:rPr>
      <w:rFonts w:asciiTheme="minorHAnsi" w:eastAsiaTheme="majorEastAsia" w:hAnsiTheme="min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06D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0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51">
    <w:name w:val="CM51"/>
    <w:basedOn w:val="Default"/>
    <w:next w:val="Default"/>
    <w:uiPriority w:val="99"/>
    <w:rsid w:val="00885087"/>
    <w:rPr>
      <w:rFonts w:cstheme="minorBidi"/>
      <w:color w:val="auto"/>
    </w:rPr>
  </w:style>
  <w:style w:type="paragraph" w:customStyle="1" w:styleId="CM54">
    <w:name w:val="CM54"/>
    <w:basedOn w:val="Default"/>
    <w:next w:val="Default"/>
    <w:uiPriority w:val="99"/>
    <w:rsid w:val="00885087"/>
    <w:rPr>
      <w:rFonts w:cstheme="minorBidi"/>
      <w:color w:val="auto"/>
    </w:rPr>
  </w:style>
  <w:style w:type="paragraph" w:customStyle="1" w:styleId="CM47">
    <w:name w:val="CM47"/>
    <w:basedOn w:val="Default"/>
    <w:next w:val="Default"/>
    <w:uiPriority w:val="99"/>
    <w:rsid w:val="00885087"/>
    <w:rPr>
      <w:rFonts w:cstheme="minorBidi"/>
      <w:color w:val="auto"/>
    </w:rPr>
  </w:style>
  <w:style w:type="paragraph" w:customStyle="1" w:styleId="CM59">
    <w:name w:val="CM59"/>
    <w:basedOn w:val="Default"/>
    <w:next w:val="Default"/>
    <w:uiPriority w:val="99"/>
    <w:rsid w:val="008850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885087"/>
    <w:pPr>
      <w:spacing w:line="276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885087"/>
    <w:pPr>
      <w:spacing w:line="27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0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16D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16D"/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1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6016D"/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customStyle="1" w:styleId="Style1">
    <w:name w:val="Style1"/>
    <w:basedOn w:val="Normal"/>
    <w:qFormat/>
    <w:rsid w:val="008406BC"/>
  </w:style>
  <w:style w:type="paragraph" w:customStyle="1" w:styleId="Bullet1">
    <w:name w:val="Bullet 1"/>
    <w:basedOn w:val="ListBullet"/>
    <w:qFormat/>
    <w:rsid w:val="00705231"/>
    <w:pPr>
      <w:numPr>
        <w:numId w:val="5"/>
      </w:numPr>
      <w:spacing w:after="122" w:line="276" w:lineRule="atLeast"/>
      <w:contextualSpacing w:val="0"/>
    </w:pPr>
  </w:style>
  <w:style w:type="character" w:styleId="CommentReference">
    <w:name w:val="annotation reference"/>
    <w:uiPriority w:val="99"/>
    <w:semiHidden/>
    <w:unhideWhenUsed/>
    <w:rsid w:val="00E5290D"/>
    <w:rPr>
      <w:sz w:val="16"/>
      <w:szCs w:val="16"/>
    </w:rPr>
  </w:style>
  <w:style w:type="paragraph" w:styleId="ListBullet">
    <w:name w:val="List Bullet"/>
    <w:basedOn w:val="Normal"/>
    <w:uiPriority w:val="99"/>
    <w:semiHidden/>
    <w:unhideWhenUsed/>
    <w:rsid w:val="00705231"/>
    <w:pPr>
      <w:numPr>
        <w:numId w:val="7"/>
      </w:numPr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4B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4B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4D2527"/>
    <w:rPr>
      <w:rFonts w:ascii="Arial" w:eastAsia="Times New Roman" w:hAnsi="Arial" w:cs="Arial"/>
      <w:color w:val="000000"/>
    </w:rPr>
  </w:style>
  <w:style w:type="paragraph" w:customStyle="1" w:styleId="Bullet2">
    <w:name w:val="Bullet2"/>
    <w:basedOn w:val="Bullet1"/>
    <w:qFormat/>
    <w:rsid w:val="006227B1"/>
    <w:pPr>
      <w:numPr>
        <w:ilvl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C2106D"/>
    <w:rPr>
      <w:rFonts w:eastAsiaTheme="majorEastAsia" w:cstheme="majorBidi"/>
      <w:b/>
      <w:i/>
      <w:i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00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00"/>
    <w:rPr>
      <w:rFonts w:ascii="Arial" w:eastAsia="Times New Roman" w:hAnsi="Arial" w:cs="Arial"/>
      <w:color w:val="000000"/>
    </w:rPr>
  </w:style>
  <w:style w:type="character" w:styleId="Hyperlink">
    <w:name w:val="Hyperlink"/>
    <w:rsid w:val="00122D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2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F9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31CDD"/>
    <w:pPr>
      <w:spacing w:after="0" w:line="240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dr.cdc.gov/pha-guidance/engaging_the_community/index.html" TargetMode="External"/><Relationship Id="rId13" Type="http://schemas.openxmlformats.org/officeDocument/2006/relationships/hyperlink" Target="https://www.atsdr.cdc.gov/pha-guidance/conducting_scientific_evaluations/epcs_and_exposure_calculations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sdr.cdc.gov/pha-guidance/conducting_scientific_evaluations/screening_analysi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tsdr.cdc.gov/pha-guidance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sdr.cdc.gov/pha-guidance/conducting_scientific_evaluations/exposure_pathways/exposure_pathway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tsdr.cdc.gov/pha-guidance/resources/Full-PHA-Process-Explanation-508.pdf" TargetMode="External"/><Relationship Id="rId10" Type="http://schemas.openxmlformats.org/officeDocument/2006/relationships/hyperlink" Target="https://www.atsdr.cdc.gov/pha-guidance/selecting_sampling_dat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sdr.cdc.gov/pha-guidance/getting_familiar_with_the_site/index.html" TargetMode="External"/><Relationship Id="rId14" Type="http://schemas.openxmlformats.org/officeDocument/2006/relationships/hyperlink" Target="https://www.atsdr.cdc.gov/pha-guidance/conducting_scientific_evaluations/indepth_toxicological_analysi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59C1-FB4E-4F66-A09F-ECACA4BE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Bertelsen</dc:creator>
  <cp:keywords/>
  <dc:description/>
  <cp:lastModifiedBy>Bertelsen, Elizabeth (Liz) (ATSDR/OAD/OCHHA) (CTR)</cp:lastModifiedBy>
  <cp:revision>2</cp:revision>
  <dcterms:created xsi:type="dcterms:W3CDTF">2023-12-07T17:12:00Z</dcterms:created>
  <dcterms:modified xsi:type="dcterms:W3CDTF">2023-12-07T17:12:00Z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2022-05-11T14:21:55Z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fbe70915-7d04-4934-aaa3-93023b42f493</vt:lpwstr>
  </property>
  <property fmtid="{D5CDD505-2E9C-101B-9397-08002B2CF9AE}" pid="8" name="MSIP_Label_7b94a7b8-f06c-4dfe-bdcc-9b548fd58c31_ContentBits">
    <vt:lpwstr>0</vt:lpwstr>
  </property>
</Properties>
</file>